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BF2FB" w14:textId="7623230B" w:rsidR="00580732" w:rsidRDefault="00580732">
      <w:r>
        <w:t>MS-BV-Zeitwertkonten</w:t>
      </w:r>
    </w:p>
    <w:p w14:paraId="6AB7A7DD" w14:textId="77777777" w:rsidR="00580732" w:rsidRDefault="00580732"/>
    <w:p w14:paraId="7E2B8C9C" w14:textId="77777777" w:rsidR="00580732" w:rsidRPr="0071489D" w:rsidRDefault="00580732" w:rsidP="00580732">
      <w:pPr>
        <w:rPr>
          <w:b/>
          <w:bCs/>
        </w:rPr>
      </w:pPr>
      <w:r w:rsidRPr="0071489D">
        <w:rPr>
          <w:b/>
          <w:bCs/>
        </w:rPr>
        <w:t>Muster-Betriebsvereinbarung: Regelung über Zeitwertkonten</w:t>
      </w:r>
    </w:p>
    <w:p w14:paraId="67BE2E7C" w14:textId="77777777" w:rsidR="00580732" w:rsidRDefault="00580732" w:rsidP="00580732"/>
    <w:p w14:paraId="060A47F5" w14:textId="77777777" w:rsidR="00580732" w:rsidRPr="0071489D" w:rsidRDefault="00580732" w:rsidP="00580732">
      <w:pPr>
        <w:rPr>
          <w:rFonts w:cs="Times New Roman"/>
        </w:rPr>
      </w:pPr>
      <w:r w:rsidRPr="0071489D">
        <w:rPr>
          <w:rFonts w:cs="Times New Roman"/>
        </w:rPr>
        <w:t>Zwischen der … (Name des Unternehmens) und dem Betriebsrat der … (Name des Unternehmens) wird folgende Betriebsvereinbarung über Zeitwertkonten geschlossen:</w:t>
      </w:r>
    </w:p>
    <w:p w14:paraId="53772D9C" w14:textId="77777777" w:rsidR="00580732" w:rsidRPr="0071489D" w:rsidRDefault="00580732" w:rsidP="00580732">
      <w:pPr>
        <w:rPr>
          <w:rFonts w:cs="Times New Roman"/>
        </w:rPr>
      </w:pPr>
    </w:p>
    <w:p w14:paraId="1E1DAEF0" w14:textId="77777777" w:rsidR="00580732" w:rsidRPr="0071489D" w:rsidRDefault="00580732" w:rsidP="00580732">
      <w:pPr>
        <w:rPr>
          <w:rFonts w:cs="Times New Roman"/>
          <w:b/>
        </w:rPr>
      </w:pPr>
      <w:r w:rsidRPr="0071489D">
        <w:rPr>
          <w:rFonts w:cs="Times New Roman"/>
          <w:b/>
        </w:rPr>
        <w:t>Präambel</w:t>
      </w:r>
    </w:p>
    <w:p w14:paraId="73CCEAED" w14:textId="77777777" w:rsidR="00580732" w:rsidRPr="0071489D" w:rsidRDefault="00580732" w:rsidP="00580732">
      <w:pPr>
        <w:rPr>
          <w:rFonts w:cs="Times New Roman"/>
        </w:rPr>
      </w:pPr>
      <w:r w:rsidRPr="0071489D">
        <w:rPr>
          <w:rFonts w:cs="Times New Roman"/>
        </w:rPr>
        <w:t>Ziel der Betriebsvereinbarung ist es, den Arbeitnehmerinnen und Arbeitnehmern eine Möglichkeit zu bieten, früher als gesetzlich vorgesehen in den Ruhestand zu gehen und Arbeitnehmern die Möglichkeit geboten werden, eine Auszeit in Form eines Sabbaticals zu nehmen.</w:t>
      </w:r>
    </w:p>
    <w:p w14:paraId="175D79B7" w14:textId="77777777" w:rsidR="00580732" w:rsidRPr="0071489D" w:rsidRDefault="00580732" w:rsidP="00580732">
      <w:pPr>
        <w:rPr>
          <w:rFonts w:cs="Times New Roman"/>
        </w:rPr>
      </w:pPr>
    </w:p>
    <w:p w14:paraId="78131F71" w14:textId="77777777" w:rsidR="00580732" w:rsidRPr="0071489D" w:rsidRDefault="00580732" w:rsidP="00580732">
      <w:pPr>
        <w:rPr>
          <w:rFonts w:cs="Times New Roman"/>
          <w:b/>
        </w:rPr>
      </w:pPr>
      <w:r w:rsidRPr="0071489D">
        <w:rPr>
          <w:rFonts w:cs="Times New Roman"/>
          <w:b/>
        </w:rPr>
        <w:t>§ 1 Geltungsbereich</w:t>
      </w:r>
    </w:p>
    <w:p w14:paraId="10AA3A93" w14:textId="77777777" w:rsidR="00580732" w:rsidRPr="0071489D" w:rsidRDefault="00580732" w:rsidP="00580732">
      <w:pPr>
        <w:rPr>
          <w:rFonts w:cs="Times New Roman"/>
        </w:rPr>
      </w:pPr>
      <w:r w:rsidRPr="0071489D">
        <w:rPr>
          <w:rFonts w:cs="Times New Roman"/>
        </w:rPr>
        <w:t>Diese Betriebsvereinbarung gilt für alle Arbeitnehmer der … (Name des Unternehmens), ausgenommen der leitenden Angestellten.</w:t>
      </w:r>
    </w:p>
    <w:p w14:paraId="6D95CAED" w14:textId="77777777" w:rsidR="00580732" w:rsidRPr="0071489D" w:rsidRDefault="00580732" w:rsidP="00580732">
      <w:pPr>
        <w:rPr>
          <w:rFonts w:cs="Times New Roman"/>
        </w:rPr>
      </w:pPr>
    </w:p>
    <w:p w14:paraId="2696E8C6" w14:textId="77777777" w:rsidR="00580732" w:rsidRPr="0071489D" w:rsidRDefault="00580732" w:rsidP="00580732">
      <w:pPr>
        <w:rPr>
          <w:rFonts w:cs="Times New Roman"/>
          <w:b/>
        </w:rPr>
      </w:pPr>
      <w:r w:rsidRPr="0071489D">
        <w:rPr>
          <w:rFonts w:cs="Times New Roman"/>
          <w:b/>
        </w:rPr>
        <w:t>§ 2 Dauer und Lage der wöchentlichen Arbeitszeit</w:t>
      </w:r>
    </w:p>
    <w:p w14:paraId="066CC561" w14:textId="77777777" w:rsidR="00580732" w:rsidRPr="0071489D" w:rsidRDefault="00580732" w:rsidP="00580732">
      <w:pPr>
        <w:rPr>
          <w:rFonts w:cs="Times New Roman"/>
        </w:rPr>
      </w:pPr>
      <w:r w:rsidRPr="0071489D">
        <w:rPr>
          <w:rFonts w:cs="Times New Roman"/>
        </w:rPr>
        <w:t>Die regelmäßige wöchentliche Arbeitszeit beträgt … Stunden.</w:t>
      </w:r>
    </w:p>
    <w:p w14:paraId="15DCDEBA" w14:textId="77777777" w:rsidR="00580732" w:rsidRPr="0071489D" w:rsidRDefault="00580732" w:rsidP="00580732">
      <w:pPr>
        <w:rPr>
          <w:rFonts w:cs="Times New Roman"/>
        </w:rPr>
      </w:pPr>
      <w:r w:rsidRPr="0071489D">
        <w:rPr>
          <w:rFonts w:cs="Times New Roman"/>
        </w:rPr>
        <w:t xml:space="preserve">Als Arbeitstage gelten die Wochentage Montag bis Freitag. Samstagsarbeit ist möglichst zu vermeiden. </w:t>
      </w:r>
    </w:p>
    <w:p w14:paraId="555939CB" w14:textId="77777777" w:rsidR="00580732" w:rsidRPr="0071489D" w:rsidRDefault="00580732" w:rsidP="00580732">
      <w:pPr>
        <w:rPr>
          <w:rFonts w:cs="Times New Roman"/>
        </w:rPr>
      </w:pPr>
    </w:p>
    <w:p w14:paraId="5B0B11BD" w14:textId="77777777" w:rsidR="00580732" w:rsidRPr="0071489D" w:rsidRDefault="00580732" w:rsidP="00580732">
      <w:pPr>
        <w:rPr>
          <w:rFonts w:cs="Times New Roman"/>
          <w:b/>
        </w:rPr>
      </w:pPr>
      <w:r w:rsidRPr="0071489D">
        <w:rPr>
          <w:rFonts w:cs="Times New Roman"/>
          <w:b/>
        </w:rPr>
        <w:t>§ 3 Gleitzeit, Arbeitsbeginn und Arbeitsende</w:t>
      </w:r>
    </w:p>
    <w:p w14:paraId="52B45634" w14:textId="77777777" w:rsidR="00580732" w:rsidRPr="0071489D" w:rsidRDefault="00580732" w:rsidP="00580732">
      <w:pPr>
        <w:rPr>
          <w:rFonts w:cs="Times New Roman"/>
        </w:rPr>
      </w:pPr>
      <w:r w:rsidRPr="0071489D">
        <w:rPr>
          <w:rFonts w:cs="Times New Roman"/>
        </w:rPr>
        <w:t>Die Arbeitnehmer können Beginn und Ende der täglichen Arbeitszeit sowie die Pausen innerhalb eines Arbeitszeitrahmens unter Sicherstellung der Anwesenheit während der Kernarbeitszeiten und unter Beachtung der gesetzlichen Rahmenbedingungen selbst bestimmen.</w:t>
      </w:r>
    </w:p>
    <w:p w14:paraId="6B5BDADC" w14:textId="77777777" w:rsidR="00580732" w:rsidRPr="0071489D" w:rsidRDefault="00580732" w:rsidP="00580732">
      <w:pPr>
        <w:rPr>
          <w:rFonts w:cs="Times New Roman"/>
        </w:rPr>
      </w:pPr>
    </w:p>
    <w:p w14:paraId="3DE81F2F" w14:textId="77777777" w:rsidR="00580732" w:rsidRPr="0071489D" w:rsidRDefault="00580732" w:rsidP="00580732">
      <w:pPr>
        <w:rPr>
          <w:rFonts w:cs="Times New Roman"/>
          <w:b/>
        </w:rPr>
      </w:pPr>
      <w:r w:rsidRPr="0071489D">
        <w:rPr>
          <w:rFonts w:cs="Times New Roman"/>
          <w:b/>
        </w:rPr>
        <w:t>§ 4 Sollarbeitszeit</w:t>
      </w:r>
    </w:p>
    <w:p w14:paraId="0D013242" w14:textId="77777777" w:rsidR="00580732" w:rsidRPr="0071489D" w:rsidRDefault="00580732" w:rsidP="00580732">
      <w:pPr>
        <w:rPr>
          <w:rFonts w:cs="Times New Roman"/>
        </w:rPr>
      </w:pPr>
      <w:r w:rsidRPr="0071489D">
        <w:rPr>
          <w:rFonts w:cs="Times New Roman"/>
        </w:rPr>
        <w:t xml:space="preserve">Die tägliche Sollarbeitszeit beträgt … Stunden. Eventuelle Überstunden sowie Mehrarbeitszeit werden dem Arbeitszeitkonto gutgeschrieben. </w:t>
      </w:r>
    </w:p>
    <w:p w14:paraId="01F1BBD6" w14:textId="77777777" w:rsidR="00580732" w:rsidRPr="0071489D" w:rsidRDefault="00580732" w:rsidP="00580732">
      <w:pPr>
        <w:rPr>
          <w:rFonts w:cs="Times New Roman"/>
        </w:rPr>
      </w:pPr>
    </w:p>
    <w:p w14:paraId="31BFBA83" w14:textId="77777777" w:rsidR="00580732" w:rsidRPr="0071489D" w:rsidRDefault="00580732" w:rsidP="00580732">
      <w:pPr>
        <w:rPr>
          <w:rFonts w:cs="Times New Roman"/>
          <w:b/>
        </w:rPr>
      </w:pPr>
      <w:r w:rsidRPr="0071489D">
        <w:rPr>
          <w:rFonts w:cs="Times New Roman"/>
          <w:b/>
        </w:rPr>
        <w:t>§ 5 Zeiterfassung</w:t>
      </w:r>
    </w:p>
    <w:p w14:paraId="23630F28" w14:textId="77777777" w:rsidR="00580732" w:rsidRPr="0071489D" w:rsidRDefault="00580732" w:rsidP="00580732">
      <w:pPr>
        <w:rPr>
          <w:rFonts w:cs="Times New Roman"/>
        </w:rPr>
      </w:pPr>
      <w:r w:rsidRPr="0071489D">
        <w:rPr>
          <w:rFonts w:cs="Times New Roman"/>
        </w:rPr>
        <w:t>Die tatsächliche Arbeitszeit wird mittels elektronischer Zeiterfassungsgeräte an den Eingängen des Unternehmens ermittelt. Alle Arbeitnehmer bekommen eine entsprechende Zeiterfassungskarte ausgehändigt. Sie sind verpflichtet, diese zu Beginn und bei Beendigung der Arbeit vom Gerät einlesen zu lassen. Zudem müssen die Arbeitnehmer das Gerät betätigen, wenn Sie eine Pause machen. Diese muss bei einer Arbeitszeit von mehr als 6 und bis zu 9 Stunden mindestens 30 Minuten lang sein.</w:t>
      </w:r>
    </w:p>
    <w:p w14:paraId="2A493AAA" w14:textId="77777777" w:rsidR="00580732" w:rsidRPr="0071489D" w:rsidRDefault="00580732" w:rsidP="00580732">
      <w:pPr>
        <w:rPr>
          <w:rFonts w:cs="Times New Roman"/>
        </w:rPr>
      </w:pPr>
    </w:p>
    <w:p w14:paraId="565C4A06" w14:textId="77777777" w:rsidR="00580732" w:rsidRPr="0071489D" w:rsidRDefault="00580732" w:rsidP="00580732">
      <w:pPr>
        <w:rPr>
          <w:rFonts w:cs="Times New Roman"/>
          <w:b/>
        </w:rPr>
      </w:pPr>
      <w:r w:rsidRPr="0071489D">
        <w:rPr>
          <w:rFonts w:cs="Times New Roman"/>
          <w:b/>
        </w:rPr>
        <w:t>§ 6 Einrichtung Arbeitszeitkonten</w:t>
      </w:r>
    </w:p>
    <w:p w14:paraId="2D909FD9" w14:textId="77777777" w:rsidR="00580732" w:rsidRPr="0071489D" w:rsidRDefault="00580732" w:rsidP="00580732">
      <w:pPr>
        <w:rPr>
          <w:rFonts w:cs="Times New Roman"/>
        </w:rPr>
      </w:pPr>
      <w:r w:rsidRPr="0071489D">
        <w:rPr>
          <w:rFonts w:cs="Times New Roman"/>
        </w:rPr>
        <w:t xml:space="preserve">Für alle Arbeitnehmer wird ein Gleitzeitkonto eingerichtet. Dieses dient der kurz- und mittelfristigen Disposition. Zudem wird für alle Beschäftigten ein Lebensarbeitszeitkonto geführt. </w:t>
      </w:r>
    </w:p>
    <w:p w14:paraId="20510F3E" w14:textId="77777777" w:rsidR="00580732" w:rsidRPr="0071489D" w:rsidRDefault="00580732" w:rsidP="00580732">
      <w:pPr>
        <w:rPr>
          <w:rFonts w:cs="Times New Roman"/>
        </w:rPr>
      </w:pPr>
    </w:p>
    <w:p w14:paraId="60C274F8" w14:textId="77777777" w:rsidR="00580732" w:rsidRPr="0071489D" w:rsidRDefault="00580732" w:rsidP="00580732">
      <w:pPr>
        <w:rPr>
          <w:rFonts w:cs="Times New Roman"/>
          <w:b/>
        </w:rPr>
      </w:pPr>
      <w:r w:rsidRPr="0071489D">
        <w:rPr>
          <w:rFonts w:cs="Times New Roman"/>
          <w:b/>
        </w:rPr>
        <w:t>§ 7 Gleitzeitkonto</w:t>
      </w:r>
    </w:p>
    <w:p w14:paraId="1F0E37D2" w14:textId="77777777" w:rsidR="00580732" w:rsidRPr="0071489D" w:rsidRDefault="00580732" w:rsidP="00580732">
      <w:pPr>
        <w:rPr>
          <w:rFonts w:cs="Times New Roman"/>
        </w:rPr>
      </w:pPr>
      <w:r w:rsidRPr="0071489D">
        <w:rPr>
          <w:rFonts w:cs="Times New Roman"/>
        </w:rPr>
        <w:lastRenderedPageBreak/>
        <w:t>Abweichungen zwischen Soll- und täglicher Arbeitszeit werden auf einem persönlichen Zeitkonto verbucht und arbeitstäglich verrechnet. Hinsichtlich des Arbeitszeitkontos ist wie folgt zu verfahren:</w:t>
      </w:r>
    </w:p>
    <w:p w14:paraId="7F803213" w14:textId="77777777" w:rsidR="00580732" w:rsidRPr="0071489D" w:rsidRDefault="00580732" w:rsidP="00580732">
      <w:pPr>
        <w:numPr>
          <w:ilvl w:val="0"/>
          <w:numId w:val="1"/>
        </w:numPr>
        <w:rPr>
          <w:rFonts w:cs="Times New Roman"/>
        </w:rPr>
      </w:pPr>
      <w:r w:rsidRPr="0071489D">
        <w:rPr>
          <w:rFonts w:cs="Times New Roman"/>
        </w:rPr>
        <w:t>Von minus … bis plus … kann der Arbeitnehmer grundsätzlich eigenverantwortlich disponieren. Der</w:t>
      </w:r>
      <w:r w:rsidRPr="0071489D">
        <w:t xml:space="preserve"> </w:t>
      </w:r>
      <w:r w:rsidRPr="0071489D">
        <w:rPr>
          <w:rFonts w:cs="Times New Roman"/>
        </w:rPr>
        <w:t>Ausgleichszeitraum beträgt … Monate. Er beginnt am … und endet am …. Das heißt, die durchschnittliche Arbeitszeit muss am … erreicht sein.</w:t>
      </w:r>
    </w:p>
    <w:p w14:paraId="740E0B58" w14:textId="77777777" w:rsidR="00580732" w:rsidRPr="0071489D" w:rsidRDefault="00580732" w:rsidP="00580732">
      <w:pPr>
        <w:numPr>
          <w:ilvl w:val="0"/>
          <w:numId w:val="1"/>
        </w:numPr>
        <w:rPr>
          <w:rFonts w:cs="Times New Roman"/>
        </w:rPr>
      </w:pPr>
      <w:r w:rsidRPr="0071489D">
        <w:rPr>
          <w:rFonts w:cs="Times New Roman"/>
        </w:rPr>
        <w:t>Einen absehbaren Zeitkontostand von minus … bis plus … muss der Beschäftigte seinem Vorgesetzten frühestmöglich anzeigen. Über die Über- bzw. Unterschreitung muss eine Vereinbarung getroffen werden, in der bereits Maßnahmen festgelegt werden, die den Abbau von Zeitschulden bzw. –guthaben in einem fest vorgegebenen Zeitraum gewährleisten.</w:t>
      </w:r>
    </w:p>
    <w:p w14:paraId="59D62654" w14:textId="77777777" w:rsidR="00580732" w:rsidRPr="0071489D" w:rsidRDefault="00580732" w:rsidP="00580732">
      <w:pPr>
        <w:numPr>
          <w:ilvl w:val="0"/>
          <w:numId w:val="1"/>
        </w:numPr>
        <w:rPr>
          <w:rFonts w:cs="Times New Roman"/>
        </w:rPr>
      </w:pPr>
      <w:r w:rsidRPr="0071489D">
        <w:rPr>
          <w:rFonts w:cs="Times New Roman"/>
        </w:rPr>
        <w:t xml:space="preserve">Zeitkontostände von … Stunden plus oder minus dürfen nur vorübergehend nach vorheriger Vereinbarung mit dem Vorgesetzten erreicht werden. Dabei muss der Abbau von Zeitschulden bzw. – </w:t>
      </w:r>
      <w:proofErr w:type="spellStart"/>
      <w:r w:rsidRPr="0071489D">
        <w:rPr>
          <w:rFonts w:cs="Times New Roman"/>
        </w:rPr>
        <w:t>guthaben</w:t>
      </w:r>
      <w:proofErr w:type="spellEnd"/>
      <w:r w:rsidRPr="0071489D">
        <w:rPr>
          <w:rFonts w:cs="Times New Roman"/>
        </w:rPr>
        <w:t xml:space="preserve"> auf maximal … Stunden bis zum Ende des Nachmonats erfolgen.</w:t>
      </w:r>
    </w:p>
    <w:p w14:paraId="07894BFF" w14:textId="77777777" w:rsidR="00580732" w:rsidRDefault="00580732" w:rsidP="00580732">
      <w:pPr>
        <w:rPr>
          <w:rFonts w:cs="Times New Roman"/>
        </w:rPr>
      </w:pPr>
      <w:r w:rsidRPr="0071489D">
        <w:rPr>
          <w:rFonts w:cs="Times New Roman"/>
        </w:rPr>
        <w:t>Bei Teilzeitkräften ist bezüglich der in diesem Paragrafen angeführten Dispositionsmöglichkeiten entsprechend dem Anteil an der Wochenarbeitszeit zu verfahren.</w:t>
      </w:r>
    </w:p>
    <w:p w14:paraId="39352332" w14:textId="77777777" w:rsidR="00580732" w:rsidRPr="0071489D" w:rsidRDefault="00580732" w:rsidP="00580732">
      <w:pPr>
        <w:rPr>
          <w:rFonts w:cs="Times New Roman"/>
        </w:rPr>
      </w:pPr>
    </w:p>
    <w:p w14:paraId="4693F96C" w14:textId="77777777" w:rsidR="00580732" w:rsidRPr="0071489D" w:rsidRDefault="00580732" w:rsidP="00580732">
      <w:pPr>
        <w:rPr>
          <w:rFonts w:cs="Times New Roman"/>
          <w:b/>
        </w:rPr>
      </w:pPr>
      <w:r w:rsidRPr="0071489D">
        <w:rPr>
          <w:rFonts w:cs="Times New Roman"/>
          <w:b/>
        </w:rPr>
        <w:t>§ 8 Lebensarbeitszeitkonto</w:t>
      </w:r>
    </w:p>
    <w:p w14:paraId="35D49048" w14:textId="77777777" w:rsidR="00580732" w:rsidRPr="0071489D" w:rsidRDefault="00580732" w:rsidP="00580732">
      <w:pPr>
        <w:rPr>
          <w:rFonts w:cs="Times New Roman"/>
        </w:rPr>
      </w:pPr>
      <w:r w:rsidRPr="0071489D">
        <w:rPr>
          <w:rFonts w:cs="Times New Roman"/>
        </w:rPr>
        <w:t>Innerhalb eines Kalenderjahres kann ein Zeitguthaben vom Gleitzeitkonto von insgesamt maximal … Stunden auf das Lebensarbeitszeitkonto übertragen werden.</w:t>
      </w:r>
      <w:r>
        <w:rPr>
          <w:rFonts w:cs="Times New Roman"/>
        </w:rPr>
        <w:t xml:space="preserve"> </w:t>
      </w:r>
      <w:r w:rsidRPr="0071489D">
        <w:rPr>
          <w:rFonts w:cs="Times New Roman"/>
        </w:rPr>
        <w:t xml:space="preserve">Das Lebensarbeitszeitkonto wird als Geldkonto geführt. Zuführungen von </w:t>
      </w:r>
      <w:proofErr w:type="spellStart"/>
      <w:r w:rsidRPr="0071489D">
        <w:rPr>
          <w:rFonts w:cs="Times New Roman"/>
        </w:rPr>
        <w:t>Zeitsoll</w:t>
      </w:r>
      <w:proofErr w:type="spellEnd"/>
      <w:r w:rsidRPr="0071489D">
        <w:rPr>
          <w:rFonts w:cs="Times New Roman"/>
        </w:rPr>
        <w:t>/Zeitguthaben aus dem Gleitzeitkonto werden mit dem zum Buchungszeitpunkt individuellen Bruttostundenlohns des Arbeitnehmers als Wertguthaben verbucht.</w:t>
      </w:r>
    </w:p>
    <w:p w14:paraId="36AFF126" w14:textId="77777777" w:rsidR="00580732" w:rsidRPr="0071489D" w:rsidRDefault="00580732" w:rsidP="00580732">
      <w:pPr>
        <w:rPr>
          <w:rFonts w:cs="Times New Roman"/>
        </w:rPr>
      </w:pPr>
    </w:p>
    <w:p w14:paraId="16C3143A" w14:textId="77777777" w:rsidR="00580732" w:rsidRPr="0071489D" w:rsidRDefault="00580732" w:rsidP="00580732">
      <w:pPr>
        <w:rPr>
          <w:rFonts w:cs="Times New Roman"/>
          <w:b/>
        </w:rPr>
      </w:pPr>
      <w:r w:rsidRPr="0071489D">
        <w:rPr>
          <w:rFonts w:cs="Times New Roman"/>
          <w:b/>
        </w:rPr>
        <w:t>§ 9 Unterrichtung des Betriebsrats</w:t>
      </w:r>
    </w:p>
    <w:p w14:paraId="54EBAB3E" w14:textId="77777777" w:rsidR="00580732" w:rsidRPr="0071489D" w:rsidRDefault="00580732" w:rsidP="00580732">
      <w:pPr>
        <w:rPr>
          <w:rFonts w:cs="Times New Roman"/>
        </w:rPr>
      </w:pPr>
      <w:r w:rsidRPr="0071489D">
        <w:rPr>
          <w:rFonts w:cs="Times New Roman"/>
        </w:rPr>
        <w:t>Damit sich der Betriebsrat über den jeweiligen Stand der tatsächlichen Arbeitszeiten informieren kann, erhält er einmal monatlich einen Ausdruck der Arbeitszeitkonten aller Belegschaftsmitglieder.</w:t>
      </w:r>
    </w:p>
    <w:p w14:paraId="70154FDF" w14:textId="77777777" w:rsidR="00580732" w:rsidRPr="0071489D" w:rsidRDefault="00580732" w:rsidP="00580732">
      <w:pPr>
        <w:rPr>
          <w:rFonts w:cs="Times New Roman"/>
        </w:rPr>
      </w:pPr>
    </w:p>
    <w:p w14:paraId="7CA622DB" w14:textId="77777777" w:rsidR="00580732" w:rsidRPr="0071489D" w:rsidRDefault="00580732" w:rsidP="00580732">
      <w:pPr>
        <w:rPr>
          <w:rFonts w:cs="Times New Roman"/>
          <w:b/>
        </w:rPr>
      </w:pPr>
      <w:r w:rsidRPr="0071489D">
        <w:rPr>
          <w:rFonts w:cs="Times New Roman"/>
          <w:b/>
        </w:rPr>
        <w:t>§ 10 Verwendung des Lebensarbeitszeit-Wertguthabens</w:t>
      </w:r>
    </w:p>
    <w:p w14:paraId="0C942DB6" w14:textId="77777777" w:rsidR="00580732" w:rsidRPr="0071489D" w:rsidRDefault="00580732" w:rsidP="00580732">
      <w:pPr>
        <w:rPr>
          <w:rFonts w:cs="Times New Roman"/>
        </w:rPr>
      </w:pPr>
      <w:r w:rsidRPr="0071489D">
        <w:rPr>
          <w:rFonts w:cs="Times New Roman"/>
        </w:rPr>
        <w:t>Das Wertguthaben auf dem Lebensarbeitszeitkonto soll zu einer Verkürzung der Lebensarbeitszeit führen. Weitere Verwendungsarten des Wertguthabens (z.B. Pflege von Angehörigen, Ausgleich bei vorübergehend reduzierter Arbeitszeit, Sabbatical) sind möglich, sollen aber mit dem Vorgesetzten besprochen werden. Sie dürfen aber nur bei Vorliegen dringender betrieblicher Gründe abgelehnt werden.</w:t>
      </w:r>
    </w:p>
    <w:p w14:paraId="2BAA663A" w14:textId="77777777" w:rsidR="00580732" w:rsidRPr="0071489D" w:rsidRDefault="00580732" w:rsidP="00580732">
      <w:pPr>
        <w:rPr>
          <w:rFonts w:cs="Times New Roman"/>
        </w:rPr>
      </w:pPr>
    </w:p>
    <w:p w14:paraId="43208102" w14:textId="77777777" w:rsidR="00580732" w:rsidRPr="0071489D" w:rsidRDefault="00580732" w:rsidP="00580732">
      <w:pPr>
        <w:rPr>
          <w:rFonts w:cs="Times New Roman"/>
          <w:b/>
        </w:rPr>
      </w:pPr>
      <w:r w:rsidRPr="0071489D">
        <w:rPr>
          <w:rFonts w:cs="Times New Roman"/>
          <w:b/>
        </w:rPr>
        <w:t>§ 11 Sicherung gegen Insolvenz</w:t>
      </w:r>
    </w:p>
    <w:p w14:paraId="5101FD92" w14:textId="77777777" w:rsidR="00580732" w:rsidRPr="0071489D" w:rsidRDefault="00580732" w:rsidP="00580732">
      <w:pPr>
        <w:rPr>
          <w:rFonts w:cs="Times New Roman"/>
        </w:rPr>
      </w:pPr>
      <w:r w:rsidRPr="0071489D">
        <w:rPr>
          <w:rFonts w:cs="Times New Roman"/>
        </w:rPr>
        <w:t>Das Wertguthaben auf dem Lebensarbeitszeitkonto wird vom Arbeitgeber gegen eine eventuelle Insolvenz abgesichert. Und zwar indem es in mehreren Investmentfonds angelegt und fortgeschrieben wird. Zur Insolvenzabsicherung der Beschäftigten werden die individuellen Investmentkonten für den Fall der Insolvenz der Gesellschaft aufschiebend bedingt an den begünstigten Beschäftigten verpfändet.</w:t>
      </w:r>
    </w:p>
    <w:p w14:paraId="5469ADB1" w14:textId="77777777" w:rsidR="00580732" w:rsidRPr="0071489D" w:rsidRDefault="00580732" w:rsidP="00580732">
      <w:pPr>
        <w:rPr>
          <w:rFonts w:cs="Times New Roman"/>
        </w:rPr>
      </w:pPr>
    </w:p>
    <w:p w14:paraId="75394F77" w14:textId="77777777" w:rsidR="00580732" w:rsidRPr="0071489D" w:rsidRDefault="00580732" w:rsidP="00580732">
      <w:pPr>
        <w:rPr>
          <w:rFonts w:cs="Times New Roman"/>
          <w:b/>
        </w:rPr>
      </w:pPr>
      <w:r w:rsidRPr="0071489D">
        <w:rPr>
          <w:rFonts w:cs="Times New Roman"/>
          <w:b/>
        </w:rPr>
        <w:t>§ 12 Vorzeitige Beendigung eines Arbeitsverhältnisses</w:t>
      </w:r>
    </w:p>
    <w:p w14:paraId="32AA8536" w14:textId="77777777" w:rsidR="00580732" w:rsidRPr="0071489D" w:rsidRDefault="00580732" w:rsidP="00580732">
      <w:pPr>
        <w:rPr>
          <w:rFonts w:cs="Times New Roman"/>
        </w:rPr>
      </w:pPr>
      <w:r w:rsidRPr="0071489D">
        <w:rPr>
          <w:rFonts w:cs="Times New Roman"/>
        </w:rPr>
        <w:lastRenderedPageBreak/>
        <w:t>Beendet ein Arbeitnehmer sein Beschäftigungsverhältnis mit dem Arbeitgeber vorzeitig, werden die angesammelten Plusstunden auf dem Gleitzeitkonto durch bezahlte Freistellung abgegolten.</w:t>
      </w:r>
    </w:p>
    <w:p w14:paraId="52C5418E" w14:textId="77777777" w:rsidR="00580732" w:rsidRPr="0071489D" w:rsidRDefault="00580732" w:rsidP="00580732">
      <w:pPr>
        <w:rPr>
          <w:rFonts w:cs="Times New Roman"/>
        </w:rPr>
      </w:pPr>
      <w:r w:rsidRPr="0071489D">
        <w:rPr>
          <w:rFonts w:cs="Times New Roman"/>
        </w:rPr>
        <w:t>Wechselt der Arbeitnehmer den Arbeitgeber, hat er die Möglichkeit vom Arbeitgeber die Übertragung seines Wertguthabens auf dem Lebensarbeitszeitkonto auf eine andere Gesellschaft zu verlangen. Dazu muss diese allerdings zustimmen. Zudem muss sie mit dem Arbeitnehmer eine entsprechende Vereinbarung darüber schließen.</w:t>
      </w:r>
    </w:p>
    <w:p w14:paraId="7470D5BA" w14:textId="77777777" w:rsidR="00580732" w:rsidRPr="0071489D" w:rsidRDefault="00580732" w:rsidP="00580732">
      <w:pPr>
        <w:rPr>
          <w:rFonts w:cs="Times New Roman"/>
        </w:rPr>
      </w:pPr>
      <w:r w:rsidRPr="0071489D">
        <w:rPr>
          <w:rFonts w:cs="Times New Roman"/>
        </w:rPr>
        <w:t>Alternativ kann das Wertguthaben auf dem Lebensarbeitszeitkonto bei einer vorzeitigen Beendigung des Beschäftigungsverhältnisses auf Verlangen des Arbeitnehmers auch auf die Deutsche Rentenversicherung Bund übertragen werden.</w:t>
      </w:r>
    </w:p>
    <w:p w14:paraId="27C4250D" w14:textId="77777777" w:rsidR="00580732" w:rsidRPr="0071489D" w:rsidRDefault="00580732" w:rsidP="00580732">
      <w:pPr>
        <w:rPr>
          <w:rFonts w:cs="Times New Roman"/>
        </w:rPr>
      </w:pPr>
      <w:r w:rsidRPr="0071489D">
        <w:rPr>
          <w:rFonts w:cs="Times New Roman"/>
        </w:rPr>
        <w:t>Ansonsten wird das Wertguthaben aufgelöst und ausbezahlt.</w:t>
      </w:r>
    </w:p>
    <w:p w14:paraId="2ACE2D87" w14:textId="77777777" w:rsidR="00580732" w:rsidRPr="0071489D" w:rsidRDefault="00580732" w:rsidP="00580732">
      <w:pPr>
        <w:rPr>
          <w:rFonts w:cs="Times New Roman"/>
        </w:rPr>
      </w:pPr>
    </w:p>
    <w:p w14:paraId="42B56AA9" w14:textId="77777777" w:rsidR="00580732" w:rsidRPr="0071489D" w:rsidRDefault="00580732" w:rsidP="00580732">
      <w:pPr>
        <w:rPr>
          <w:rFonts w:cs="Times New Roman"/>
          <w:b/>
        </w:rPr>
      </w:pPr>
      <w:r w:rsidRPr="0071489D">
        <w:rPr>
          <w:rFonts w:cs="Times New Roman"/>
          <w:b/>
        </w:rPr>
        <w:t>§ 1</w:t>
      </w:r>
      <w:r>
        <w:rPr>
          <w:rFonts w:cs="Times New Roman"/>
          <w:b/>
        </w:rPr>
        <w:t>3</w:t>
      </w:r>
      <w:r w:rsidRPr="0071489D">
        <w:rPr>
          <w:rFonts w:cs="Times New Roman"/>
          <w:b/>
        </w:rPr>
        <w:t xml:space="preserve"> Todesfall</w:t>
      </w:r>
    </w:p>
    <w:p w14:paraId="44C9AE56" w14:textId="77777777" w:rsidR="00580732" w:rsidRPr="0071489D" w:rsidRDefault="00580732" w:rsidP="00580732">
      <w:pPr>
        <w:rPr>
          <w:rFonts w:cs="Times New Roman"/>
        </w:rPr>
      </w:pPr>
      <w:r w:rsidRPr="0071489D">
        <w:rPr>
          <w:rFonts w:cs="Times New Roman"/>
        </w:rPr>
        <w:t>Wertguthaben können im Fall des Todes des Anspruchsberechtigten vererbt werden.</w:t>
      </w:r>
    </w:p>
    <w:p w14:paraId="0831E406" w14:textId="77777777" w:rsidR="00580732" w:rsidRPr="0071489D" w:rsidRDefault="00580732" w:rsidP="00580732">
      <w:pPr>
        <w:rPr>
          <w:rFonts w:cs="Times New Roman"/>
        </w:rPr>
      </w:pPr>
    </w:p>
    <w:p w14:paraId="7D05784B" w14:textId="77777777" w:rsidR="00580732" w:rsidRPr="0071489D" w:rsidRDefault="00580732" w:rsidP="00580732">
      <w:pPr>
        <w:rPr>
          <w:rFonts w:cs="Times New Roman"/>
          <w:b/>
        </w:rPr>
      </w:pPr>
      <w:r w:rsidRPr="0071489D">
        <w:rPr>
          <w:rFonts w:cs="Times New Roman"/>
          <w:b/>
        </w:rPr>
        <w:t>§ 1</w:t>
      </w:r>
      <w:r>
        <w:rPr>
          <w:rFonts w:cs="Times New Roman"/>
          <w:b/>
        </w:rPr>
        <w:t>4</w:t>
      </w:r>
      <w:r w:rsidRPr="0071489D">
        <w:rPr>
          <w:rFonts w:cs="Times New Roman"/>
          <w:b/>
        </w:rPr>
        <w:t xml:space="preserve"> Schlussbestimmungen</w:t>
      </w:r>
    </w:p>
    <w:p w14:paraId="55E4C556" w14:textId="77777777" w:rsidR="00580732" w:rsidRPr="0071489D" w:rsidRDefault="00580732" w:rsidP="00580732">
      <w:pPr>
        <w:rPr>
          <w:rFonts w:cs="Times New Roman"/>
        </w:rPr>
      </w:pPr>
      <w:r w:rsidRPr="0071489D">
        <w:rPr>
          <w:rFonts w:cs="Times New Roman"/>
        </w:rPr>
        <w:t xml:space="preserve">Die Betriebsvereinbarung tritt mit ihrer Unterzeichnung in Kraft. Sie kann mit einer Frist von 3 Monaten zum Jahresende gekündigt werden. Kündigt einer der Unterzeichnenden die Vereinbarung wirkt sie bis zum Abschluss einer neuen Betriebsvereinbarung zu diesem Thema fort. </w:t>
      </w:r>
    </w:p>
    <w:p w14:paraId="44736A41" w14:textId="77777777" w:rsidR="00580732" w:rsidRPr="0071489D" w:rsidRDefault="00580732" w:rsidP="00580732">
      <w:pPr>
        <w:rPr>
          <w:rFonts w:cs="Times New Roman"/>
        </w:rPr>
      </w:pPr>
      <w:r w:rsidRPr="0071489D">
        <w:rPr>
          <w:rFonts w:cs="Times New Roman"/>
        </w:rPr>
        <w:t xml:space="preserve">Jegliche Änderungen der Betriebsvereinbarung bedürfen zu ihrer Wirksamkeit der Schriftform. Sollte eine Bestimmung dieser Vereinbarung ganz oder teilweise unwirksam sein oder werden, so die Wirksamkeit der übrigen Bestimmungen davon nicht berührt. </w:t>
      </w:r>
    </w:p>
    <w:p w14:paraId="1AC01CAD" w14:textId="77777777" w:rsidR="00580732" w:rsidRPr="0071489D" w:rsidRDefault="00580732" w:rsidP="00580732">
      <w:pPr>
        <w:rPr>
          <w:rFonts w:cs="Times New Roman"/>
        </w:rPr>
      </w:pPr>
    </w:p>
    <w:p w14:paraId="5718E340" w14:textId="77777777" w:rsidR="00580732" w:rsidRPr="0071489D" w:rsidRDefault="00580732" w:rsidP="00580732">
      <w:pPr>
        <w:rPr>
          <w:rFonts w:cs="Times New Roman"/>
        </w:rPr>
      </w:pPr>
      <w:r w:rsidRPr="0071489D">
        <w:rPr>
          <w:rFonts w:cs="Times New Roman"/>
        </w:rPr>
        <w:t>Ort, Datum, Unterschriften</w:t>
      </w:r>
    </w:p>
    <w:p w14:paraId="4822E803" w14:textId="77777777" w:rsidR="00580732" w:rsidRDefault="00580732"/>
    <w:sectPr w:rsidR="00580732"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E0065C"/>
    <w:multiLevelType w:val="hybridMultilevel"/>
    <w:tmpl w:val="417237F0"/>
    <w:lvl w:ilvl="0" w:tplc="119A9958">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47871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732"/>
    <w:rsid w:val="00153551"/>
    <w:rsid w:val="00580732"/>
    <w:rsid w:val="00664AAB"/>
    <w:rsid w:val="0094513C"/>
    <w:rsid w:val="00C06186"/>
    <w:rsid w:val="00E75B41"/>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7DC9E97"/>
  <w15:chartTrackingRefBased/>
  <w15:docId w15:val="{19A49E6B-938A-4949-A7A1-F1C124D61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807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807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8073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8073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8073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8073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8073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8073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8073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073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8073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8073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8073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8073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8073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8073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8073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80732"/>
    <w:rPr>
      <w:rFonts w:eastAsiaTheme="majorEastAsia" w:cstheme="majorBidi"/>
      <w:color w:val="272727" w:themeColor="text1" w:themeTint="D8"/>
    </w:rPr>
  </w:style>
  <w:style w:type="paragraph" w:styleId="Titel">
    <w:name w:val="Title"/>
    <w:basedOn w:val="Standard"/>
    <w:next w:val="Standard"/>
    <w:link w:val="TitelZchn"/>
    <w:uiPriority w:val="10"/>
    <w:qFormat/>
    <w:rsid w:val="0058073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8073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8073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8073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8073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80732"/>
    <w:rPr>
      <w:i/>
      <w:iCs/>
      <w:color w:val="404040" w:themeColor="text1" w:themeTint="BF"/>
    </w:rPr>
  </w:style>
  <w:style w:type="paragraph" w:styleId="Listenabsatz">
    <w:name w:val="List Paragraph"/>
    <w:basedOn w:val="Standard"/>
    <w:uiPriority w:val="34"/>
    <w:qFormat/>
    <w:rsid w:val="00580732"/>
    <w:pPr>
      <w:ind w:left="720"/>
      <w:contextualSpacing/>
    </w:pPr>
  </w:style>
  <w:style w:type="character" w:styleId="IntensiveHervorhebung">
    <w:name w:val="Intense Emphasis"/>
    <w:basedOn w:val="Absatz-Standardschriftart"/>
    <w:uiPriority w:val="21"/>
    <w:qFormat/>
    <w:rsid w:val="00580732"/>
    <w:rPr>
      <w:i/>
      <w:iCs/>
      <w:color w:val="0F4761" w:themeColor="accent1" w:themeShade="BF"/>
    </w:rPr>
  </w:style>
  <w:style w:type="paragraph" w:styleId="IntensivesZitat">
    <w:name w:val="Intense Quote"/>
    <w:basedOn w:val="Standard"/>
    <w:next w:val="Standard"/>
    <w:link w:val="IntensivesZitatZchn"/>
    <w:uiPriority w:val="30"/>
    <w:qFormat/>
    <w:rsid w:val="005807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80732"/>
    <w:rPr>
      <w:i/>
      <w:iCs/>
      <w:color w:val="0F4761" w:themeColor="accent1" w:themeShade="BF"/>
    </w:rPr>
  </w:style>
  <w:style w:type="character" w:styleId="IntensiverVerweis">
    <w:name w:val="Intense Reference"/>
    <w:basedOn w:val="Absatz-Standardschriftart"/>
    <w:uiPriority w:val="32"/>
    <w:qFormat/>
    <w:rsid w:val="005807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861</Words>
  <Characters>5431</Characters>
  <Application>Microsoft Office Word</Application>
  <DocSecurity>0</DocSecurity>
  <Lines>45</Lines>
  <Paragraphs>12</Paragraphs>
  <ScaleCrop>false</ScaleCrop>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Friederike Becker-Lerchner</cp:lastModifiedBy>
  <cp:revision>2</cp:revision>
  <dcterms:created xsi:type="dcterms:W3CDTF">2025-05-19T13:04:00Z</dcterms:created>
  <dcterms:modified xsi:type="dcterms:W3CDTF">2025-05-19T13:04:00Z</dcterms:modified>
</cp:coreProperties>
</file>