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F0150" w14:textId="77777777" w:rsidR="00DC38A6" w:rsidRPr="00DC38A6" w:rsidRDefault="00DC38A6" w:rsidP="00DC38A6">
      <w:pPr>
        <w:pStyle w:val="Textkrper"/>
        <w:widowControl/>
        <w:suppressAutoHyphens/>
        <w:spacing w:beforeLines="40" w:before="96" w:afterLines="40" w:after="96" w:line="360" w:lineRule="auto"/>
        <w:rPr>
          <w:rFonts w:ascii="Times New Roman" w:hAnsi="Times New Roman"/>
          <w:b/>
          <w:color w:val="000000" w:themeColor="text1"/>
          <w:sz w:val="32"/>
          <w:szCs w:val="22"/>
        </w:rPr>
      </w:pPr>
      <w:r w:rsidRPr="00DC38A6">
        <w:rPr>
          <w:rFonts w:ascii="Times New Roman" w:hAnsi="Times New Roman"/>
          <w:b/>
          <w:color w:val="000000" w:themeColor="text1"/>
          <w:sz w:val="32"/>
          <w:szCs w:val="22"/>
        </w:rPr>
        <w:t>Übersicht: Wichtige Anwendungsfälle einer betrieblichen Übung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2"/>
      </w:tblGrid>
      <w:tr w:rsidR="00DC38A6" w:rsidRPr="00EA70AD" w14:paraId="7B8A138E" w14:textId="77777777" w:rsidTr="00994177">
        <w:trPr>
          <w:trHeight w:val="298"/>
        </w:trPr>
        <w:tc>
          <w:tcPr>
            <w:tcW w:w="5000" w:type="pct"/>
          </w:tcPr>
          <w:p w14:paraId="6082231E" w14:textId="77777777" w:rsidR="00DC38A6" w:rsidRPr="00EA70AD" w:rsidRDefault="00DC38A6" w:rsidP="00994177">
            <w:pPr>
              <w:pStyle w:val="TableParagraph"/>
              <w:widowControl/>
              <w:suppressAutoHyphens/>
              <w:spacing w:beforeLines="40" w:before="96" w:afterLines="40" w:after="96" w:line="36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EA70AD">
              <w:rPr>
                <w:rFonts w:ascii="Times New Roman" w:hAnsi="Times New Roman"/>
                <w:b/>
                <w:color w:val="000000" w:themeColor="text1"/>
                <w:sz w:val="24"/>
              </w:rPr>
              <w:t>Hier kann eine betriebliche Übung entstehen</w:t>
            </w:r>
          </w:p>
        </w:tc>
      </w:tr>
      <w:tr w:rsidR="00DC38A6" w:rsidRPr="00EA70AD" w14:paraId="29E389C5" w14:textId="77777777" w:rsidTr="00994177">
        <w:trPr>
          <w:trHeight w:val="225"/>
        </w:trPr>
        <w:tc>
          <w:tcPr>
            <w:tcW w:w="5000" w:type="pct"/>
          </w:tcPr>
          <w:p w14:paraId="7B1D30BC" w14:textId="77777777" w:rsidR="00DC38A6" w:rsidRPr="00EA70AD" w:rsidRDefault="00DC38A6" w:rsidP="00994177">
            <w:pPr>
              <w:pStyle w:val="TableParagraph"/>
              <w:widowControl/>
              <w:suppressAutoHyphens/>
              <w:spacing w:beforeLines="40" w:before="96" w:afterLines="40" w:after="96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EA70AD">
              <w:rPr>
                <w:rFonts w:ascii="Times New Roman" w:hAnsi="Times New Roman"/>
                <w:color w:val="000000" w:themeColor="text1"/>
                <w:sz w:val="24"/>
              </w:rPr>
              <w:t>Gewährung von Urlaubs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- </w:t>
            </w:r>
            <w:r w:rsidRPr="00EA70AD">
              <w:rPr>
                <w:rFonts w:ascii="Times New Roman" w:hAnsi="Times New Roman"/>
                <w:color w:val="000000" w:themeColor="text1"/>
                <w:sz w:val="24"/>
              </w:rPr>
              <w:t>und Weihnachtsgeld, übertariflichen Leistungen und Wechselschichtzuschlägen</w:t>
            </w:r>
          </w:p>
        </w:tc>
      </w:tr>
      <w:tr w:rsidR="00DC38A6" w:rsidRPr="00EA70AD" w14:paraId="56D46494" w14:textId="77777777" w:rsidTr="00994177">
        <w:trPr>
          <w:trHeight w:val="225"/>
        </w:trPr>
        <w:tc>
          <w:tcPr>
            <w:tcW w:w="5000" w:type="pct"/>
          </w:tcPr>
          <w:p w14:paraId="19290C95" w14:textId="77777777" w:rsidR="00DC38A6" w:rsidRPr="00EA70AD" w:rsidRDefault="00DC38A6" w:rsidP="00994177">
            <w:pPr>
              <w:pStyle w:val="TableParagraph"/>
              <w:widowControl/>
              <w:suppressAutoHyphens/>
              <w:spacing w:beforeLines="40" w:before="96" w:afterLines="40" w:after="96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EA70AD">
              <w:rPr>
                <w:rFonts w:ascii="Times New Roman" w:hAnsi="Times New Roman"/>
                <w:color w:val="000000" w:themeColor="text1"/>
                <w:sz w:val="24"/>
              </w:rPr>
              <w:t>Vergütung von Bereitschaftsdiensten</w:t>
            </w:r>
          </w:p>
        </w:tc>
      </w:tr>
      <w:tr w:rsidR="00DC38A6" w:rsidRPr="00EA70AD" w14:paraId="41589127" w14:textId="77777777" w:rsidTr="00994177">
        <w:trPr>
          <w:trHeight w:val="225"/>
        </w:trPr>
        <w:tc>
          <w:tcPr>
            <w:tcW w:w="5000" w:type="pct"/>
          </w:tcPr>
          <w:p w14:paraId="2D23614D" w14:textId="77777777" w:rsidR="00DC38A6" w:rsidRPr="00EA70AD" w:rsidRDefault="00DC38A6" w:rsidP="00994177">
            <w:pPr>
              <w:pStyle w:val="TableParagraph"/>
              <w:widowControl/>
              <w:suppressAutoHyphens/>
              <w:spacing w:beforeLines="40" w:before="96" w:afterLines="40" w:after="96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EA70AD">
              <w:rPr>
                <w:rFonts w:ascii="Times New Roman" w:hAnsi="Times New Roman"/>
                <w:color w:val="000000" w:themeColor="text1"/>
                <w:sz w:val="24"/>
              </w:rPr>
              <w:t>Jubiläumszuwendungen</w:t>
            </w:r>
          </w:p>
        </w:tc>
      </w:tr>
      <w:tr w:rsidR="00DC38A6" w:rsidRPr="00EA70AD" w14:paraId="16D7ED0A" w14:textId="77777777" w:rsidTr="00994177">
        <w:trPr>
          <w:trHeight w:val="225"/>
        </w:trPr>
        <w:tc>
          <w:tcPr>
            <w:tcW w:w="5000" w:type="pct"/>
          </w:tcPr>
          <w:p w14:paraId="7DC55843" w14:textId="77777777" w:rsidR="00DC38A6" w:rsidRPr="00EA70AD" w:rsidRDefault="00DC38A6" w:rsidP="00994177">
            <w:pPr>
              <w:pStyle w:val="TableParagraph"/>
              <w:widowControl/>
              <w:suppressAutoHyphens/>
              <w:spacing w:beforeLines="40" w:before="96" w:afterLines="40" w:after="96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EA70AD">
              <w:rPr>
                <w:rFonts w:ascii="Times New Roman" w:hAnsi="Times New Roman"/>
                <w:color w:val="000000" w:themeColor="text1"/>
                <w:sz w:val="24"/>
              </w:rPr>
              <w:t>Gewährung von Essens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- </w:t>
            </w:r>
            <w:r w:rsidRPr="00EA70AD">
              <w:rPr>
                <w:rFonts w:ascii="Times New Roman" w:hAnsi="Times New Roman"/>
                <w:color w:val="000000" w:themeColor="text1"/>
                <w:sz w:val="24"/>
              </w:rPr>
              <w:t>und Fahrtkostenzuschüssen sowie Beihilfen</w:t>
            </w:r>
          </w:p>
        </w:tc>
      </w:tr>
      <w:tr w:rsidR="00DC38A6" w:rsidRPr="00EA70AD" w14:paraId="3B137464" w14:textId="77777777" w:rsidTr="00994177">
        <w:trPr>
          <w:trHeight w:val="225"/>
        </w:trPr>
        <w:tc>
          <w:tcPr>
            <w:tcW w:w="5000" w:type="pct"/>
          </w:tcPr>
          <w:p w14:paraId="74AD6548" w14:textId="77777777" w:rsidR="00DC38A6" w:rsidRPr="00EA70AD" w:rsidRDefault="00DC38A6" w:rsidP="00994177">
            <w:pPr>
              <w:pStyle w:val="TableParagraph"/>
              <w:widowControl/>
              <w:suppressAutoHyphens/>
              <w:spacing w:beforeLines="40" w:before="96" w:afterLines="40" w:after="96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EA70AD">
              <w:rPr>
                <w:rFonts w:ascii="Times New Roman" w:hAnsi="Times New Roman"/>
                <w:color w:val="000000" w:themeColor="text1"/>
                <w:sz w:val="24"/>
              </w:rPr>
              <w:t>Großzügige Urlaubsübertragungen</w:t>
            </w:r>
          </w:p>
        </w:tc>
      </w:tr>
      <w:tr w:rsidR="00DC38A6" w:rsidRPr="00EA70AD" w14:paraId="60489C04" w14:textId="77777777" w:rsidTr="00994177">
        <w:trPr>
          <w:trHeight w:val="225"/>
        </w:trPr>
        <w:tc>
          <w:tcPr>
            <w:tcW w:w="5000" w:type="pct"/>
          </w:tcPr>
          <w:p w14:paraId="7464F645" w14:textId="77777777" w:rsidR="00DC38A6" w:rsidRPr="00EA70AD" w:rsidRDefault="00DC38A6" w:rsidP="00994177">
            <w:pPr>
              <w:pStyle w:val="TableParagraph"/>
              <w:widowControl/>
              <w:suppressAutoHyphens/>
              <w:spacing w:beforeLines="40" w:before="96" w:afterLines="40" w:after="96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EA70AD">
              <w:rPr>
                <w:rFonts w:ascii="Times New Roman" w:hAnsi="Times New Roman"/>
                <w:color w:val="000000" w:themeColor="text1"/>
                <w:sz w:val="24"/>
              </w:rPr>
              <w:t>Kostenlose Nutzung von Betriebsparkplätzen</w:t>
            </w:r>
          </w:p>
        </w:tc>
      </w:tr>
      <w:tr w:rsidR="00DC38A6" w:rsidRPr="00EA70AD" w14:paraId="098E2BA4" w14:textId="77777777" w:rsidTr="00994177">
        <w:trPr>
          <w:trHeight w:val="225"/>
        </w:trPr>
        <w:tc>
          <w:tcPr>
            <w:tcW w:w="5000" w:type="pct"/>
          </w:tcPr>
          <w:p w14:paraId="5C963578" w14:textId="77777777" w:rsidR="00DC38A6" w:rsidRPr="00EA70AD" w:rsidRDefault="00DC38A6" w:rsidP="00994177">
            <w:pPr>
              <w:pStyle w:val="TableParagraph"/>
              <w:widowControl/>
              <w:suppressAutoHyphens/>
              <w:spacing w:beforeLines="40" w:before="96" w:afterLines="40" w:after="96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EA70AD">
              <w:rPr>
                <w:rFonts w:ascii="Times New Roman" w:hAnsi="Times New Roman"/>
                <w:color w:val="000000" w:themeColor="text1"/>
                <w:sz w:val="24"/>
              </w:rPr>
              <w:t>Gewährung einer betrieblichen Altersversorgung</w:t>
            </w:r>
          </w:p>
        </w:tc>
      </w:tr>
      <w:tr w:rsidR="00DC38A6" w:rsidRPr="00EA70AD" w14:paraId="0C9C2C16" w14:textId="77777777" w:rsidTr="00994177">
        <w:trPr>
          <w:trHeight w:val="225"/>
        </w:trPr>
        <w:tc>
          <w:tcPr>
            <w:tcW w:w="5000" w:type="pct"/>
          </w:tcPr>
          <w:p w14:paraId="2E2CED66" w14:textId="77777777" w:rsidR="00DC38A6" w:rsidRPr="00EA70AD" w:rsidRDefault="00DC38A6" w:rsidP="00994177">
            <w:pPr>
              <w:pStyle w:val="TableParagraph"/>
              <w:widowControl/>
              <w:suppressAutoHyphens/>
              <w:spacing w:beforeLines="40" w:before="96" w:afterLines="40" w:after="96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EA70AD">
              <w:rPr>
                <w:rFonts w:ascii="Times New Roman" w:hAnsi="Times New Roman"/>
                <w:color w:val="000000" w:themeColor="text1"/>
                <w:sz w:val="24"/>
              </w:rPr>
              <w:t>Sonderzuwendungen für Betriebsrentner</w:t>
            </w:r>
          </w:p>
        </w:tc>
      </w:tr>
      <w:tr w:rsidR="00DC38A6" w:rsidRPr="00EA70AD" w14:paraId="59895DBE" w14:textId="77777777" w:rsidTr="00994177">
        <w:trPr>
          <w:trHeight w:val="225"/>
        </w:trPr>
        <w:tc>
          <w:tcPr>
            <w:tcW w:w="5000" w:type="pct"/>
          </w:tcPr>
          <w:p w14:paraId="5E540D26" w14:textId="77777777" w:rsidR="00DC38A6" w:rsidRPr="00EA70AD" w:rsidRDefault="00DC38A6" w:rsidP="00994177">
            <w:pPr>
              <w:pStyle w:val="TableParagraph"/>
              <w:widowControl/>
              <w:suppressAutoHyphens/>
              <w:spacing w:beforeLines="40" w:before="96" w:afterLines="40" w:after="96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EA70AD">
              <w:rPr>
                <w:rFonts w:ascii="Times New Roman" w:hAnsi="Times New Roman"/>
                <w:color w:val="000000" w:themeColor="text1"/>
                <w:sz w:val="24"/>
              </w:rPr>
              <w:t>Nichtanrechnung von Tariferhöhungen auf freiwillige Zahlungen</w:t>
            </w:r>
          </w:p>
        </w:tc>
      </w:tr>
      <w:tr w:rsidR="00DC38A6" w:rsidRPr="00EA70AD" w14:paraId="3888D4CC" w14:textId="77777777" w:rsidTr="00994177">
        <w:trPr>
          <w:trHeight w:val="225"/>
        </w:trPr>
        <w:tc>
          <w:tcPr>
            <w:tcW w:w="5000" w:type="pct"/>
          </w:tcPr>
          <w:p w14:paraId="05DE344B" w14:textId="77777777" w:rsidR="00DC38A6" w:rsidRPr="00EA70AD" w:rsidRDefault="00DC38A6" w:rsidP="00994177">
            <w:pPr>
              <w:pStyle w:val="TableParagraph"/>
              <w:widowControl/>
              <w:suppressAutoHyphens/>
              <w:spacing w:beforeLines="40" w:before="96" w:afterLines="40" w:after="96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EA70AD">
              <w:rPr>
                <w:rFonts w:ascii="Times New Roman" w:hAnsi="Times New Roman"/>
                <w:color w:val="000000" w:themeColor="text1"/>
                <w:sz w:val="24"/>
              </w:rPr>
              <w:t>Übernahme der Pauschalsteuer bei geringfügiger Beschäftigung</w:t>
            </w:r>
          </w:p>
        </w:tc>
      </w:tr>
      <w:tr w:rsidR="00DC38A6" w:rsidRPr="00EA70AD" w14:paraId="7F9D9104" w14:textId="77777777" w:rsidTr="00994177">
        <w:trPr>
          <w:trHeight w:val="230"/>
        </w:trPr>
        <w:tc>
          <w:tcPr>
            <w:tcW w:w="5000" w:type="pct"/>
          </w:tcPr>
          <w:p w14:paraId="74586EBF" w14:textId="77777777" w:rsidR="00DC38A6" w:rsidRPr="00EA70AD" w:rsidRDefault="00DC38A6" w:rsidP="00994177">
            <w:pPr>
              <w:pStyle w:val="TableParagraph"/>
              <w:widowControl/>
              <w:suppressAutoHyphens/>
              <w:spacing w:beforeLines="40" w:before="96" w:afterLines="40" w:after="96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EA70AD">
              <w:rPr>
                <w:rFonts w:ascii="Times New Roman" w:hAnsi="Times New Roman"/>
                <w:color w:val="000000" w:themeColor="text1"/>
                <w:sz w:val="24"/>
              </w:rPr>
              <w:t>Gewährung von Freizeit an Heiligabend, Silvester etc.</w:t>
            </w:r>
          </w:p>
        </w:tc>
      </w:tr>
    </w:tbl>
    <w:p w14:paraId="02E764E1" w14:textId="77777777" w:rsidR="007A02FE" w:rsidRDefault="007A02FE"/>
    <w:sectPr w:rsidR="007A02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A6"/>
    <w:rsid w:val="00230DF9"/>
    <w:rsid w:val="007113A5"/>
    <w:rsid w:val="007A02FE"/>
    <w:rsid w:val="00DC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3478"/>
  <w15:chartTrackingRefBased/>
  <w15:docId w15:val="{C2A656D6-96C8-49A4-BE61-A5A03681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C38A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DC38A6"/>
    <w:rPr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DC38A6"/>
    <w:rPr>
      <w:rFonts w:ascii="Cambria" w:eastAsia="Cambria" w:hAnsi="Cambria" w:cs="Cambria"/>
      <w:sz w:val="18"/>
      <w:szCs w:val="18"/>
    </w:rPr>
  </w:style>
  <w:style w:type="paragraph" w:customStyle="1" w:styleId="TableParagraph">
    <w:name w:val="Table Paragraph"/>
    <w:basedOn w:val="Standard"/>
    <w:uiPriority w:val="1"/>
    <w:qFormat/>
    <w:rsid w:val="00DC38A6"/>
    <w:pPr>
      <w:spacing w:line="206" w:lineRule="exact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584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1</cp:revision>
  <dcterms:created xsi:type="dcterms:W3CDTF">2022-12-17T16:22:00Z</dcterms:created>
  <dcterms:modified xsi:type="dcterms:W3CDTF">2022-12-17T16:23:00Z</dcterms:modified>
</cp:coreProperties>
</file>